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A" w:rsidRPr="00E36A0E" w:rsidRDefault="00B07B1A" w:rsidP="00B07B1A">
      <w:pPr>
        <w:tabs>
          <w:tab w:val="left" w:pos="567"/>
        </w:tabs>
        <w:ind w:firstLine="567"/>
        <w:jc w:val="both"/>
        <w:rPr>
          <w:b/>
          <w:color w:val="0F243E" w:themeColor="text2" w:themeShade="80"/>
          <w:sz w:val="28"/>
          <w:szCs w:val="28"/>
        </w:rPr>
      </w:pPr>
      <w:r w:rsidRPr="00E36A0E">
        <w:rPr>
          <w:b/>
          <w:color w:val="0F243E" w:themeColor="text2" w:themeShade="80"/>
          <w:sz w:val="28"/>
          <w:szCs w:val="28"/>
        </w:rPr>
        <w:t>Социально-педагогические услуги</w:t>
      </w: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содействие в обучении детей и подростков по школьной программе;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организация помощи родителям или законным представителям детей-инвалидов, в</w:t>
      </w:r>
      <w:bookmarkStart w:id="0" w:name="_GoBack"/>
      <w:bookmarkEnd w:id="0"/>
      <w:r w:rsidRPr="00E36A0E">
        <w:rPr>
          <w:color w:val="0F243E" w:themeColor="text2" w:themeShade="80"/>
          <w:sz w:val="28"/>
          <w:szCs w:val="28"/>
        </w:rPr>
        <w:t>оспитываемых дома, в обучении таких детей навыкам самообслуживания, общения и контроля, направленных на развитие личности;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формирование позитивных интересов (в том числе в сфере досуга) получателей социальных услуг;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организация досуга (праздники, экскурсии и другие культурные мероприятия);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создание условий для дошкольного воспитания детей и получения школьного образования по специальным программам;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налаживание межличностных и внутрисемейных отношений;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E36A0E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социально-педагогический патронаж;</w:t>
      </w: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социально-педагогическое консультирование;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proofErr w:type="gramStart"/>
      <w:r w:rsidRPr="00E36A0E">
        <w:rPr>
          <w:color w:val="0F243E" w:themeColor="text2" w:themeShade="80"/>
          <w:sz w:val="28"/>
          <w:szCs w:val="28"/>
        </w:rPr>
        <w:lastRenderedPageBreak/>
        <w:t>обучение инвалидов по зрению</w:t>
      </w:r>
      <w:proofErr w:type="gramEnd"/>
      <w:r w:rsidRPr="00E36A0E">
        <w:rPr>
          <w:color w:val="0F243E" w:themeColor="text2" w:themeShade="80"/>
          <w:sz w:val="28"/>
          <w:szCs w:val="28"/>
        </w:rPr>
        <w:t xml:space="preserve"> письму по Брайлю;</w:t>
      </w:r>
    </w:p>
    <w:p w:rsidR="00E36A0E" w:rsidRPr="00E36A0E" w:rsidRDefault="00E36A0E" w:rsidP="00B07B1A">
      <w:pPr>
        <w:tabs>
          <w:tab w:val="left" w:pos="567"/>
        </w:tabs>
        <w:ind w:firstLine="567"/>
        <w:jc w:val="both"/>
        <w:rPr>
          <w:color w:val="0F243E" w:themeColor="text2" w:themeShade="80"/>
          <w:sz w:val="28"/>
          <w:szCs w:val="28"/>
        </w:rPr>
      </w:pPr>
    </w:p>
    <w:p w:rsidR="00B07B1A" w:rsidRPr="00E36A0E" w:rsidRDefault="00B07B1A" w:rsidP="00E36A0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color w:val="0F243E" w:themeColor="text2" w:themeShade="80"/>
          <w:sz w:val="28"/>
          <w:szCs w:val="28"/>
        </w:rPr>
      </w:pPr>
      <w:r w:rsidRPr="00E36A0E">
        <w:rPr>
          <w:color w:val="0F243E" w:themeColor="text2" w:themeShade="80"/>
          <w:sz w:val="28"/>
          <w:szCs w:val="28"/>
        </w:rPr>
        <w:t>услуги по переводу на язык жестов при реализации индивидуальной программы реабилитации инвалидов (для инвалидов по слуху).</w:t>
      </w:r>
    </w:p>
    <w:p w:rsidR="002E7494" w:rsidRPr="00E36A0E" w:rsidRDefault="002E7494">
      <w:pPr>
        <w:rPr>
          <w:color w:val="0F243E" w:themeColor="text2" w:themeShade="80"/>
        </w:rPr>
      </w:pPr>
    </w:p>
    <w:sectPr w:rsidR="002E7494" w:rsidRPr="00E36A0E" w:rsidSect="00E3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D9A"/>
    <w:multiLevelType w:val="hybridMultilevel"/>
    <w:tmpl w:val="0A8AA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B1A"/>
    <w:rsid w:val="002E7494"/>
    <w:rsid w:val="00B07B1A"/>
    <w:rsid w:val="00E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2015-03-17T20:20:00Z</dcterms:created>
  <dcterms:modified xsi:type="dcterms:W3CDTF">2017-03-02T07:47:00Z</dcterms:modified>
</cp:coreProperties>
</file>